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6B19" w:rsidRDefault="005C6B19"/>
    <w:tbl>
      <w:tblPr>
        <w:tblStyle w:val="TableGrid"/>
        <w:tblW w:w="0" w:type="auto"/>
        <w:tblLook w:val="04A0" w:firstRow="1" w:lastRow="0" w:firstColumn="1" w:lastColumn="0" w:noHBand="0" w:noVBand="1"/>
      </w:tblPr>
      <w:tblGrid>
        <w:gridCol w:w="1889"/>
        <w:gridCol w:w="1778"/>
        <w:gridCol w:w="1778"/>
      </w:tblGrid>
      <w:tr w:rsidR="00F3269D" w:rsidTr="00D43FE8">
        <w:trPr>
          <w:trHeight w:val="539"/>
        </w:trPr>
        <w:tc>
          <w:tcPr>
            <w:tcW w:w="1889" w:type="dxa"/>
          </w:tcPr>
          <w:p w:rsidR="00F3269D" w:rsidRDefault="00F3269D" w:rsidP="00F3269D"/>
        </w:tc>
        <w:tc>
          <w:tcPr>
            <w:tcW w:w="1778" w:type="dxa"/>
          </w:tcPr>
          <w:p w:rsidR="00F3269D" w:rsidRDefault="00F3269D" w:rsidP="00F3269D">
            <w:pPr>
              <w:jc w:val="center"/>
            </w:pPr>
            <w:r>
              <w:t>Q1 2021 Revenue</w:t>
            </w:r>
          </w:p>
        </w:tc>
        <w:tc>
          <w:tcPr>
            <w:tcW w:w="1778" w:type="dxa"/>
          </w:tcPr>
          <w:p w:rsidR="00F3269D" w:rsidRDefault="00F3269D" w:rsidP="00F3269D">
            <w:pPr>
              <w:jc w:val="center"/>
            </w:pPr>
            <w:r>
              <w:t>Q2 2021 Revenue</w:t>
            </w:r>
          </w:p>
        </w:tc>
      </w:tr>
      <w:tr w:rsidR="00F3269D" w:rsidTr="00957771">
        <w:trPr>
          <w:trHeight w:val="1109"/>
        </w:trPr>
        <w:tc>
          <w:tcPr>
            <w:tcW w:w="1889" w:type="dxa"/>
          </w:tcPr>
          <w:p w:rsidR="00F3269D" w:rsidRDefault="00F3269D" w:rsidP="00F3269D"/>
        </w:tc>
        <w:tc>
          <w:tcPr>
            <w:tcW w:w="1778" w:type="dxa"/>
            <w:vAlign w:val="bottom"/>
          </w:tcPr>
          <w:p w:rsidR="00F3269D" w:rsidRDefault="00F3269D" w:rsidP="00F3269D">
            <w:pPr>
              <w:rPr>
                <w:rFonts w:ascii="Calibri" w:hAnsi="Calibri" w:cs="Calibri"/>
                <w:color w:val="000000"/>
              </w:rPr>
            </w:pPr>
            <w:r>
              <w:rPr>
                <w:rFonts w:ascii="Calibri" w:hAnsi="Calibri" w:cs="Calibri"/>
                <w:color w:val="000000"/>
              </w:rPr>
              <w:t>Dollar amount in thousands (rounded to thousands)</w:t>
            </w:r>
          </w:p>
        </w:tc>
        <w:tc>
          <w:tcPr>
            <w:tcW w:w="1778" w:type="dxa"/>
            <w:vAlign w:val="bottom"/>
          </w:tcPr>
          <w:p w:rsidR="00F3269D" w:rsidRDefault="00F3269D" w:rsidP="00F3269D">
            <w:pPr>
              <w:rPr>
                <w:rFonts w:ascii="Calibri" w:hAnsi="Calibri" w:cs="Calibri"/>
                <w:color w:val="000000"/>
              </w:rPr>
            </w:pPr>
            <w:r>
              <w:rPr>
                <w:rFonts w:ascii="Calibri" w:hAnsi="Calibri" w:cs="Calibri"/>
                <w:color w:val="000000"/>
              </w:rPr>
              <w:t>Dollar amount in thousands (rounded to thousands)</w:t>
            </w:r>
          </w:p>
        </w:tc>
      </w:tr>
      <w:tr w:rsidR="00F3269D" w:rsidTr="00957771">
        <w:trPr>
          <w:trHeight w:val="262"/>
        </w:trPr>
        <w:tc>
          <w:tcPr>
            <w:tcW w:w="1889" w:type="dxa"/>
          </w:tcPr>
          <w:p w:rsidR="00F3269D" w:rsidRDefault="00F3269D" w:rsidP="00F3269D">
            <w:r>
              <w:t>Demurrage</w:t>
            </w:r>
            <w:r w:rsidR="00F0579F">
              <w:t xml:space="preserve"> </w:t>
            </w:r>
            <w:r w:rsidRPr="00F0579F">
              <w:rPr>
                <w:rStyle w:val="FootnoteReference"/>
                <w:b/>
              </w:rPr>
              <w:footnoteReference w:id="1"/>
            </w:r>
          </w:p>
        </w:tc>
        <w:tc>
          <w:tcPr>
            <w:tcW w:w="1778" w:type="dxa"/>
            <w:vAlign w:val="bottom"/>
          </w:tcPr>
          <w:p w:rsidR="00F3269D" w:rsidRDefault="00F3269D" w:rsidP="00F3269D">
            <w:pPr>
              <w:jc w:val="right"/>
              <w:rPr>
                <w:rFonts w:ascii="Calibri" w:hAnsi="Calibri" w:cs="Calibri"/>
                <w:color w:val="000000"/>
              </w:rPr>
            </w:pPr>
            <w:r>
              <w:rPr>
                <w:rFonts w:ascii="Calibri" w:hAnsi="Calibri" w:cs="Calibri"/>
                <w:color w:val="000000"/>
              </w:rPr>
              <w:t xml:space="preserve">           $7,047</w:t>
            </w:r>
          </w:p>
        </w:tc>
        <w:tc>
          <w:tcPr>
            <w:tcW w:w="1778" w:type="dxa"/>
            <w:vAlign w:val="bottom"/>
          </w:tcPr>
          <w:p w:rsidR="00F3269D" w:rsidRDefault="00F3269D" w:rsidP="00F3269D">
            <w:pPr>
              <w:jc w:val="right"/>
              <w:rPr>
                <w:rFonts w:ascii="Calibri" w:hAnsi="Calibri" w:cs="Calibri"/>
                <w:color w:val="000000"/>
              </w:rPr>
            </w:pPr>
            <w:r>
              <w:rPr>
                <w:rFonts w:ascii="Calibri" w:hAnsi="Calibri" w:cs="Calibri"/>
                <w:color w:val="000000"/>
              </w:rPr>
              <w:t xml:space="preserve">           $9,858</w:t>
            </w:r>
          </w:p>
        </w:tc>
      </w:tr>
      <w:tr w:rsidR="00F3269D" w:rsidTr="00957771">
        <w:trPr>
          <w:trHeight w:val="277"/>
        </w:trPr>
        <w:tc>
          <w:tcPr>
            <w:tcW w:w="1889" w:type="dxa"/>
          </w:tcPr>
          <w:p w:rsidR="00F3269D" w:rsidRDefault="00F3269D" w:rsidP="00F3269D">
            <w:r>
              <w:t>Accessorial</w:t>
            </w:r>
            <w:r w:rsidR="00F0579F">
              <w:t xml:space="preserve"> </w:t>
            </w:r>
            <w:r w:rsidRPr="00F0579F">
              <w:rPr>
                <w:rStyle w:val="FootnoteReference"/>
                <w:b/>
              </w:rPr>
              <w:footnoteReference w:id="2"/>
            </w:r>
          </w:p>
        </w:tc>
        <w:tc>
          <w:tcPr>
            <w:tcW w:w="1778" w:type="dxa"/>
            <w:vAlign w:val="bottom"/>
          </w:tcPr>
          <w:p w:rsidR="00F3269D" w:rsidRDefault="00F3269D" w:rsidP="00F3269D">
            <w:pPr>
              <w:jc w:val="right"/>
              <w:rPr>
                <w:rFonts w:ascii="Calibri" w:hAnsi="Calibri" w:cs="Calibri"/>
                <w:color w:val="000000"/>
              </w:rPr>
            </w:pPr>
            <w:r>
              <w:rPr>
                <w:rFonts w:ascii="Calibri" w:hAnsi="Calibri" w:cs="Calibri"/>
                <w:color w:val="000000"/>
              </w:rPr>
              <w:t xml:space="preserve">                4,152 </w:t>
            </w:r>
          </w:p>
        </w:tc>
        <w:tc>
          <w:tcPr>
            <w:tcW w:w="1778" w:type="dxa"/>
            <w:vAlign w:val="bottom"/>
          </w:tcPr>
          <w:p w:rsidR="00F3269D" w:rsidRDefault="00F3269D" w:rsidP="00F3269D">
            <w:pPr>
              <w:jc w:val="right"/>
              <w:rPr>
                <w:rFonts w:ascii="Calibri" w:hAnsi="Calibri" w:cs="Calibri"/>
                <w:color w:val="000000"/>
              </w:rPr>
            </w:pPr>
            <w:r>
              <w:rPr>
                <w:rFonts w:ascii="Calibri" w:hAnsi="Calibri" w:cs="Calibri"/>
                <w:color w:val="000000"/>
              </w:rPr>
              <w:t xml:space="preserve">                4,213 </w:t>
            </w:r>
          </w:p>
        </w:tc>
      </w:tr>
      <w:tr w:rsidR="00F3269D" w:rsidTr="00957771">
        <w:trPr>
          <w:trHeight w:val="278"/>
        </w:trPr>
        <w:tc>
          <w:tcPr>
            <w:tcW w:w="1889" w:type="dxa"/>
          </w:tcPr>
          <w:p w:rsidR="00F3269D" w:rsidRDefault="00F3269D" w:rsidP="00F3269D">
            <w:pPr>
              <w:jc w:val="center"/>
            </w:pPr>
            <w:r>
              <w:t>Total</w:t>
            </w:r>
          </w:p>
        </w:tc>
        <w:tc>
          <w:tcPr>
            <w:tcW w:w="1778" w:type="dxa"/>
            <w:vAlign w:val="bottom"/>
          </w:tcPr>
          <w:p w:rsidR="00F3269D" w:rsidRDefault="00F3269D" w:rsidP="00F3269D">
            <w:pPr>
              <w:jc w:val="right"/>
              <w:rPr>
                <w:rFonts w:ascii="Calibri" w:hAnsi="Calibri" w:cs="Calibri"/>
                <w:color w:val="000000"/>
              </w:rPr>
            </w:pPr>
            <w:r>
              <w:rPr>
                <w:rFonts w:ascii="Calibri" w:hAnsi="Calibri" w:cs="Calibri"/>
                <w:color w:val="000000"/>
              </w:rPr>
              <w:t>$11,199</w:t>
            </w:r>
          </w:p>
        </w:tc>
        <w:tc>
          <w:tcPr>
            <w:tcW w:w="1778" w:type="dxa"/>
            <w:vAlign w:val="bottom"/>
          </w:tcPr>
          <w:p w:rsidR="00F3269D" w:rsidRDefault="00F3269D" w:rsidP="00F3269D">
            <w:pPr>
              <w:jc w:val="right"/>
              <w:rPr>
                <w:rFonts w:ascii="Calibri" w:hAnsi="Calibri" w:cs="Calibri"/>
                <w:color w:val="000000"/>
              </w:rPr>
            </w:pPr>
            <w:r>
              <w:rPr>
                <w:rFonts w:ascii="Calibri" w:hAnsi="Calibri" w:cs="Calibri"/>
                <w:color w:val="000000"/>
              </w:rPr>
              <w:t>$14,071</w:t>
            </w:r>
          </w:p>
        </w:tc>
      </w:tr>
    </w:tbl>
    <w:p w:rsidR="005C6B19" w:rsidRPr="00F0579F" w:rsidRDefault="005C6B19" w:rsidP="00F3269D">
      <w:pPr>
        <w:rPr>
          <w:b/>
          <w:color w:val="FFFFFF" w:themeColor="background1"/>
        </w:rPr>
      </w:pPr>
    </w:p>
    <w:sectPr w:rsidR="005C6B19" w:rsidRPr="00F0579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58C1" w:rsidRDefault="00F858C1" w:rsidP="000157F4">
      <w:pPr>
        <w:spacing w:after="0" w:line="240" w:lineRule="auto"/>
      </w:pPr>
      <w:r>
        <w:separator/>
      </w:r>
    </w:p>
  </w:endnote>
  <w:endnote w:type="continuationSeparator" w:id="0">
    <w:p w:rsidR="00F858C1" w:rsidRDefault="00F858C1" w:rsidP="00015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58C1" w:rsidRDefault="00F858C1" w:rsidP="000157F4">
      <w:pPr>
        <w:spacing w:after="0" w:line="240" w:lineRule="auto"/>
      </w:pPr>
      <w:r>
        <w:separator/>
      </w:r>
    </w:p>
  </w:footnote>
  <w:footnote w:type="continuationSeparator" w:id="0">
    <w:p w:rsidR="00F858C1" w:rsidRDefault="00F858C1" w:rsidP="000157F4">
      <w:pPr>
        <w:spacing w:after="0" w:line="240" w:lineRule="auto"/>
      </w:pPr>
      <w:r>
        <w:continuationSeparator/>
      </w:r>
    </w:p>
  </w:footnote>
  <w:footnote w:id="1">
    <w:tbl>
      <w:tblPr>
        <w:tblW w:w="9805" w:type="dxa"/>
        <w:tblCellMar>
          <w:left w:w="77" w:type="dxa"/>
          <w:right w:w="77" w:type="dxa"/>
        </w:tblCellMar>
        <w:tblLook w:val="04A0" w:firstRow="1" w:lastRow="0" w:firstColumn="1" w:lastColumn="0" w:noHBand="0" w:noVBand="1"/>
      </w:tblPr>
      <w:tblGrid>
        <w:gridCol w:w="1253"/>
        <w:gridCol w:w="8552"/>
      </w:tblGrid>
      <w:tr w:rsidR="00F3269D" w:rsidRPr="00DE41A1" w:rsidTr="00F0579F">
        <w:trPr>
          <w:gridAfter w:val="1"/>
          <w:wAfter w:w="8045" w:type="dxa"/>
          <w:trHeight w:val="20"/>
        </w:trPr>
        <w:tc>
          <w:tcPr>
            <w:tcW w:w="1179" w:type="dxa"/>
            <w:tcBorders>
              <w:top w:val="nil"/>
              <w:left w:val="nil"/>
              <w:bottom w:val="nil"/>
              <w:right w:val="nil"/>
            </w:tcBorders>
            <w:shd w:val="clear" w:color="auto" w:fill="auto"/>
            <w:noWrap/>
            <w:vAlign w:val="center"/>
            <w:hideMark/>
          </w:tcPr>
          <w:p w:rsidR="00F3269D" w:rsidRPr="00DE41A1" w:rsidRDefault="00F3269D" w:rsidP="00F3269D">
            <w:pPr>
              <w:spacing w:after="0" w:line="240" w:lineRule="auto"/>
              <w:rPr>
                <w:rFonts w:ascii="Times New Roman" w:eastAsia="Times New Roman" w:hAnsi="Times New Roman" w:cs="Times New Roman"/>
                <w:sz w:val="20"/>
                <w:szCs w:val="20"/>
              </w:rPr>
            </w:pPr>
          </w:p>
        </w:tc>
      </w:tr>
      <w:bookmarkStart w:id="0" w:name="_GoBack"/>
      <w:bookmarkEnd w:id="0"/>
      <w:tr w:rsidR="00F3269D" w:rsidRPr="00F0579F" w:rsidTr="000F3750">
        <w:trPr>
          <w:trHeight w:val="1833"/>
        </w:trPr>
        <w:tc>
          <w:tcPr>
            <w:tcW w:w="6569" w:type="dxa"/>
            <w:gridSpan w:val="2"/>
            <w:tcBorders>
              <w:top w:val="nil"/>
              <w:left w:val="nil"/>
              <w:bottom w:val="nil"/>
              <w:right w:val="nil"/>
            </w:tcBorders>
            <w:shd w:val="clear" w:color="auto" w:fill="auto"/>
            <w:hideMark/>
          </w:tcPr>
          <w:p w:rsidR="00F3269D" w:rsidRPr="00F0579F" w:rsidRDefault="00F0579F" w:rsidP="00F3269D">
            <w:pPr>
              <w:spacing w:after="0" w:line="240" w:lineRule="auto"/>
            </w:pPr>
            <w:r w:rsidRPr="00F0579F">
              <w:rPr>
                <w:rFonts w:ascii="Calibri" w:eastAsia="Times New Roman" w:hAnsi="Calibri" w:cs="Calibri"/>
                <w:b/>
              </w:rPr>
              <w:fldChar w:fldCharType="begin"/>
            </w:r>
            <w:r>
              <w:rPr>
                <w:rFonts w:ascii="Calibri" w:eastAsia="Times New Roman" w:hAnsi="Calibri" w:cs="Calibri"/>
                <w:b/>
              </w:rPr>
              <w:instrText>HYPERLINK "file://C:\\Users\\gdcr00\\AppData\\Local\\Microsoft\\Windows\\INetCache\\Content.Outlook\\4FOMP6XL\\[1] \“This account shall include the revenue from the detention of cars incident to loading, unloading, reconsigning, and stops in transit upon the basis of lawful tariffs for demurrage. This account shall also include the revenue from the detention of trailers and containers used in TOFC\\COFC service, incident to loading and unloading, upon the basis of tariff rates. NOTE: This account shall be maintained so as to reflect separately (1) revenue from detention of cars, and (2) revenue from detention of trailers and containers used in TOFC\\ COFC service.\” 49 CFR §1201, category 106 (2017).  See generally KCSR Tariff 6000-F, effective April 1, 2021,  and related materials found at http:\\www.kcsouthern.com\\en-us\\customer-resources\\guidelines-regulations\\demurrage .  Stated revenues may also include revenues for similar charges under contracts which are exempt from the Board’s authority pursuant to 49 USC §10709."</w:instrText>
            </w:r>
            <w:r w:rsidRPr="00F0579F">
              <w:rPr>
                <w:rFonts w:ascii="Calibri" w:eastAsia="Times New Roman" w:hAnsi="Calibri" w:cs="Calibri"/>
                <w:b/>
              </w:rPr>
            </w:r>
            <w:r w:rsidRPr="00F0579F">
              <w:rPr>
                <w:rFonts w:ascii="Calibri" w:eastAsia="Times New Roman" w:hAnsi="Calibri" w:cs="Calibri"/>
                <w:b/>
              </w:rPr>
              <w:fldChar w:fldCharType="separate"/>
            </w:r>
            <w:r w:rsidRPr="00F0579F">
              <w:rPr>
                <w:rStyle w:val="Hyperlink"/>
                <w:rFonts w:ascii="Calibri" w:eastAsia="Times New Roman" w:hAnsi="Calibri" w:cs="Calibri"/>
                <w:b/>
                <w:color w:val="auto"/>
                <w:u w:val="none"/>
              </w:rPr>
              <w:t>[1]</w:t>
            </w:r>
            <w:r w:rsidRPr="00F0579F">
              <w:rPr>
                <w:rStyle w:val="Hyperlink"/>
                <w:rFonts w:ascii="Calibri" w:eastAsia="Times New Roman" w:hAnsi="Calibri" w:cs="Calibri"/>
                <w:color w:val="auto"/>
                <w:u w:val="none"/>
              </w:rPr>
              <w:t xml:space="preserve"> “This account shall include the revenue from the detention of cars incident to loading, unloading, reconsigning, and stops in transit upon the basis of lawful tariffs for demurrage. This account shall also include the revenue from the detention of trailers and containers used in TOFC/COFC service, incident to loading and unloading, upon the basis of tariff rates. NOTE: This account shall be maintained so as to reflect separately (1) revenue from detention of cars, and (2) revenue from detention of trailers and containers used in TOFC/ COFC service.” 49 CFR §1201, category 106 (2017).  See generally KCSR Tariff 6000-F, effective April 1, 2021,  and related materials found at http://www.kcsouthern.com/en-us/customer-resources/guidelines-regulations/demurrage .  Stated revenues may also include revenues for similar charges under contracts which are exempt from the Board’s authority pursuant to 49 USC §10709.</w:t>
            </w:r>
            <w:r w:rsidRPr="00F0579F">
              <w:rPr>
                <w:rFonts w:ascii="Calibri" w:eastAsia="Times New Roman" w:hAnsi="Calibri" w:cs="Calibri"/>
                <w:b/>
              </w:rPr>
              <w:fldChar w:fldCharType="end"/>
            </w:r>
          </w:p>
        </w:tc>
      </w:tr>
    </w:tbl>
    <w:p w:rsidR="00F3269D" w:rsidRPr="00F0579F" w:rsidRDefault="00F3269D" w:rsidP="00F3269D">
      <w:pPr>
        <w:autoSpaceDE w:val="0"/>
        <w:autoSpaceDN w:val="0"/>
        <w:adjustRightInd w:val="0"/>
        <w:spacing w:after="0" w:line="240" w:lineRule="auto"/>
        <w:rPr>
          <w:rFonts w:ascii="Times New Roman" w:hAnsi="Times New Roman" w:cs="Times New Roman"/>
          <w:sz w:val="20"/>
          <w:szCs w:val="20"/>
        </w:rPr>
      </w:pPr>
    </w:p>
  </w:footnote>
  <w:footnote w:id="2">
    <w:p w:rsidR="00F3269D" w:rsidRPr="00F0579F" w:rsidRDefault="00F0579F" w:rsidP="00F3269D">
      <w:pPr>
        <w:pStyle w:val="FootnoteText"/>
        <w:rPr>
          <w:rFonts w:ascii="Times New Roman" w:hAnsi="Times New Roman" w:cs="Times New Roman"/>
          <w:sz w:val="22"/>
          <w:szCs w:val="22"/>
        </w:rPr>
      </w:pPr>
      <w:hyperlink r:id="rId1" w:history="1">
        <w:r w:rsidR="00F3269D" w:rsidRPr="00F0579F">
          <w:rPr>
            <w:rFonts w:ascii="Calibri" w:eastAsia="Times New Roman" w:hAnsi="Calibri" w:cs="Calibri"/>
            <w:b/>
            <w:sz w:val="22"/>
            <w:szCs w:val="22"/>
          </w:rPr>
          <w:t>[2]</w:t>
        </w:r>
        <w:r w:rsidR="00F3269D" w:rsidRPr="00F0579F">
          <w:rPr>
            <w:rFonts w:ascii="Calibri" w:eastAsia="Times New Roman" w:hAnsi="Calibri" w:cs="Calibri"/>
            <w:sz w:val="22"/>
            <w:szCs w:val="22"/>
          </w:rPr>
          <w:t xml:space="preserve"> Accessorial revenue includes charges levied pursuant to terms of KCSR Tariff 8100-E, effective April 15, 2021, found at http://www.kcsouthern.com/en-us/customer-resources/guidelines-regulations/accessorial-services, Sections 1 – 2 and 4 - 10.  Stated revenues may also include revenues for similar charges under contracts which are exempt from the Board’s authority pursuant to 49 USC §10709.</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B19"/>
    <w:rsid w:val="000157F4"/>
    <w:rsid w:val="000849F4"/>
    <w:rsid w:val="000B377C"/>
    <w:rsid w:val="000E59D4"/>
    <w:rsid w:val="0025068B"/>
    <w:rsid w:val="00296298"/>
    <w:rsid w:val="00300980"/>
    <w:rsid w:val="00342960"/>
    <w:rsid w:val="00420F9A"/>
    <w:rsid w:val="004C1948"/>
    <w:rsid w:val="005B119B"/>
    <w:rsid w:val="005C6B19"/>
    <w:rsid w:val="00687935"/>
    <w:rsid w:val="00692C62"/>
    <w:rsid w:val="00910E52"/>
    <w:rsid w:val="009360A9"/>
    <w:rsid w:val="00965EA3"/>
    <w:rsid w:val="009B2B00"/>
    <w:rsid w:val="009D7E7D"/>
    <w:rsid w:val="009E646E"/>
    <w:rsid w:val="00A87134"/>
    <w:rsid w:val="00B8014D"/>
    <w:rsid w:val="00BD5703"/>
    <w:rsid w:val="00BE182E"/>
    <w:rsid w:val="00C1776B"/>
    <w:rsid w:val="00CA705E"/>
    <w:rsid w:val="00D60258"/>
    <w:rsid w:val="00DA4464"/>
    <w:rsid w:val="00E37020"/>
    <w:rsid w:val="00F0579F"/>
    <w:rsid w:val="00F1073D"/>
    <w:rsid w:val="00F3269D"/>
    <w:rsid w:val="00F4332E"/>
    <w:rsid w:val="00F506C1"/>
    <w:rsid w:val="00F81AB3"/>
    <w:rsid w:val="00F85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28550"/>
  <w15:chartTrackingRefBased/>
  <w15:docId w15:val="{462F445F-62CC-487F-BC8B-EDD45CD34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6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157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57F4"/>
    <w:rPr>
      <w:sz w:val="20"/>
      <w:szCs w:val="20"/>
    </w:rPr>
  </w:style>
  <w:style w:type="character" w:styleId="FootnoteReference">
    <w:name w:val="footnote reference"/>
    <w:basedOn w:val="DefaultParagraphFont"/>
    <w:uiPriority w:val="99"/>
    <w:semiHidden/>
    <w:unhideWhenUsed/>
    <w:rsid w:val="000157F4"/>
    <w:rPr>
      <w:vertAlign w:val="superscript"/>
    </w:rPr>
  </w:style>
  <w:style w:type="character" w:styleId="Hyperlink">
    <w:name w:val="Hyperlink"/>
    <w:basedOn w:val="DefaultParagraphFont"/>
    <w:uiPriority w:val="99"/>
    <w:unhideWhenUsed/>
    <w:rsid w:val="009D7E7D"/>
    <w:rPr>
      <w:color w:val="0563C1" w:themeColor="hyperlink"/>
      <w:u w:val="single"/>
    </w:rPr>
  </w:style>
  <w:style w:type="paragraph" w:styleId="BalloonText">
    <w:name w:val="Balloon Text"/>
    <w:basedOn w:val="Normal"/>
    <w:link w:val="BalloonTextChar"/>
    <w:uiPriority w:val="99"/>
    <w:semiHidden/>
    <w:unhideWhenUsed/>
    <w:rsid w:val="009360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60A9"/>
    <w:rPr>
      <w:rFonts w:ascii="Segoe UI" w:hAnsi="Segoe UI" w:cs="Segoe UI"/>
      <w:sz w:val="18"/>
      <w:szCs w:val="18"/>
    </w:rPr>
  </w:style>
  <w:style w:type="character" w:styleId="UnresolvedMention">
    <w:name w:val="Unresolved Mention"/>
    <w:basedOn w:val="DefaultParagraphFont"/>
    <w:uiPriority w:val="99"/>
    <w:semiHidden/>
    <w:unhideWhenUsed/>
    <w:rsid w:val="00F057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618992">
      <w:bodyDiv w:val="1"/>
      <w:marLeft w:val="0"/>
      <w:marRight w:val="0"/>
      <w:marTop w:val="0"/>
      <w:marBottom w:val="0"/>
      <w:divBdr>
        <w:top w:val="none" w:sz="0" w:space="0" w:color="auto"/>
        <w:left w:val="none" w:sz="0" w:space="0" w:color="auto"/>
        <w:bottom w:val="none" w:sz="0" w:space="0" w:color="auto"/>
        <w:right w:val="none" w:sz="0" w:space="0" w:color="auto"/>
      </w:divBdr>
    </w:div>
    <w:div w:id="1004627346">
      <w:bodyDiv w:val="1"/>
      <w:marLeft w:val="0"/>
      <w:marRight w:val="0"/>
      <w:marTop w:val="0"/>
      <w:marBottom w:val="0"/>
      <w:divBdr>
        <w:top w:val="none" w:sz="0" w:space="0" w:color="auto"/>
        <w:left w:val="none" w:sz="0" w:space="0" w:color="auto"/>
        <w:bottom w:val="none" w:sz="0" w:space="0" w:color="auto"/>
        <w:right w:val="none" w:sz="0" w:space="0" w:color="auto"/>
      </w:divBdr>
    </w:div>
    <w:div w:id="1171599380">
      <w:bodyDiv w:val="1"/>
      <w:marLeft w:val="0"/>
      <w:marRight w:val="0"/>
      <w:marTop w:val="0"/>
      <w:marBottom w:val="0"/>
      <w:divBdr>
        <w:top w:val="none" w:sz="0" w:space="0" w:color="auto"/>
        <w:left w:val="none" w:sz="0" w:space="0" w:color="auto"/>
        <w:bottom w:val="none" w:sz="0" w:space="0" w:color="auto"/>
        <w:right w:val="none" w:sz="0" w:space="0" w:color="auto"/>
      </w:divBdr>
    </w:div>
    <w:div w:id="212345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kcsouthern.com/en-us/customer-resources/guidelines-regulations/accessorial-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C2AB6-296A-4C37-AA99-6A10467EB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Words>
  <Characters>231</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KCSR</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Reeves</dc:creator>
  <cp:keywords/>
  <dc:description/>
  <cp:lastModifiedBy>David Reeves</cp:lastModifiedBy>
  <cp:revision>2</cp:revision>
  <dcterms:created xsi:type="dcterms:W3CDTF">2021-07-26T17:30:00Z</dcterms:created>
  <dcterms:modified xsi:type="dcterms:W3CDTF">2021-07-26T17:30:00Z</dcterms:modified>
</cp:coreProperties>
</file>